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63" w:rsidRDefault="00153263" w:rsidP="00153263">
      <w:pPr>
        <w:pStyle w:val="ConsPlusNonformat"/>
        <w:jc w:val="center"/>
        <w:rPr>
          <w:rFonts w:ascii="Tahoma" w:hAnsi="Tahoma" w:cs="Tahoma"/>
          <w:b/>
        </w:rPr>
      </w:pPr>
      <w:r w:rsidRPr="00BF2C24">
        <w:rPr>
          <w:rFonts w:ascii="Tahoma" w:hAnsi="Tahoma" w:cs="Tahoma"/>
          <w:b/>
        </w:rPr>
        <w:t xml:space="preserve">АО «Коми </w:t>
      </w:r>
      <w:proofErr w:type="spellStart"/>
      <w:r w:rsidRPr="00BF2C24">
        <w:rPr>
          <w:rFonts w:ascii="Tahoma" w:hAnsi="Tahoma" w:cs="Tahoma"/>
          <w:b/>
        </w:rPr>
        <w:t>энергосбытовая</w:t>
      </w:r>
      <w:proofErr w:type="spellEnd"/>
      <w:r w:rsidRPr="00BF2C24">
        <w:rPr>
          <w:rFonts w:ascii="Tahoma" w:hAnsi="Tahoma" w:cs="Tahoma"/>
          <w:b/>
        </w:rPr>
        <w:t xml:space="preserve"> компания»</w:t>
      </w:r>
    </w:p>
    <w:p w:rsidR="00153263" w:rsidRPr="00BF2C24" w:rsidRDefault="00153263" w:rsidP="00153263">
      <w:pPr>
        <w:pStyle w:val="ConsPlusNonformat"/>
        <w:jc w:val="center"/>
        <w:rPr>
          <w:rFonts w:ascii="Tahoma" w:hAnsi="Tahoma" w:cs="Tahoma"/>
          <w:b/>
        </w:rPr>
      </w:pPr>
    </w:p>
    <w:p w:rsidR="00153263" w:rsidRPr="00BF2C24" w:rsidRDefault="00153263" w:rsidP="00153263">
      <w:pPr>
        <w:pStyle w:val="ConsPlusNonformat"/>
        <w:jc w:val="center"/>
        <w:rPr>
          <w:rFonts w:ascii="Tahoma" w:hAnsi="Tahoma" w:cs="Tahoma"/>
        </w:rPr>
      </w:pPr>
      <w:r w:rsidRPr="00BF2C24">
        <w:rPr>
          <w:rFonts w:ascii="Tahoma" w:hAnsi="Tahoma" w:cs="Tahoma"/>
        </w:rPr>
        <w:t>в соответствии с п. 5 ст. 12 ФЗ-261 «Об энергосбережен</w:t>
      </w:r>
      <w:r>
        <w:rPr>
          <w:rFonts w:ascii="Tahoma" w:hAnsi="Tahoma" w:cs="Tahoma"/>
        </w:rPr>
        <w:t xml:space="preserve">ии» доводит до Вашего сведения </w:t>
      </w:r>
    </w:p>
    <w:p w:rsidR="00153263" w:rsidRPr="00BF2C24" w:rsidRDefault="00153263" w:rsidP="00153263">
      <w:pPr>
        <w:pStyle w:val="ConsPlusNonformat"/>
        <w:ind w:firstLine="567"/>
        <w:jc w:val="center"/>
        <w:rPr>
          <w:rFonts w:ascii="Tahoma" w:hAnsi="Tahoma" w:cs="Tahoma"/>
        </w:rPr>
      </w:pPr>
      <w:r w:rsidRPr="00BF2C24">
        <w:rPr>
          <w:rFonts w:ascii="Tahoma" w:hAnsi="Tahoma" w:cs="Tahoma"/>
        </w:rPr>
        <w:t xml:space="preserve">Перечень мероприятий для многоквартирного дома (группы многоквартирных домов) </w:t>
      </w:r>
    </w:p>
    <w:p w:rsidR="00153263" w:rsidRPr="00BF2C24" w:rsidRDefault="00153263" w:rsidP="00153263">
      <w:pPr>
        <w:pStyle w:val="ConsPlusNonformat"/>
        <w:ind w:firstLine="567"/>
        <w:jc w:val="center"/>
        <w:rPr>
          <w:rFonts w:ascii="Tahoma" w:hAnsi="Tahoma" w:cs="Tahoma"/>
        </w:rPr>
      </w:pPr>
      <w:r w:rsidRPr="00BF2C24">
        <w:rPr>
          <w:rFonts w:ascii="Tahoma" w:hAnsi="Tahoma" w:cs="Tahoma"/>
        </w:rPr>
        <w:t xml:space="preserve">как в отношении общего имущества собственников помещений в многоквартирном доме, </w:t>
      </w:r>
    </w:p>
    <w:p w:rsidR="00153263" w:rsidRPr="00BF2C24" w:rsidRDefault="00153263" w:rsidP="00153263">
      <w:pPr>
        <w:pStyle w:val="ConsPlusNonformat"/>
        <w:ind w:firstLine="567"/>
        <w:jc w:val="center"/>
        <w:rPr>
          <w:rFonts w:ascii="Tahoma" w:hAnsi="Tahoma" w:cs="Tahoma"/>
        </w:rPr>
      </w:pPr>
      <w:r w:rsidRPr="00BF2C24">
        <w:rPr>
          <w:rFonts w:ascii="Tahoma" w:hAnsi="Tahoma" w:cs="Tahoma"/>
        </w:rPr>
        <w:t>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</w:t>
      </w:r>
    </w:p>
    <w:p w:rsidR="00153263" w:rsidRPr="00BF2C24" w:rsidRDefault="00153263" w:rsidP="00153263">
      <w:pPr>
        <w:pStyle w:val="ConsPlusNonformat"/>
        <w:ind w:firstLine="567"/>
        <w:jc w:val="center"/>
        <w:rPr>
          <w:rFonts w:ascii="Tahoma" w:hAnsi="Tahoma" w:cs="Tahoma"/>
        </w:rPr>
      </w:pPr>
      <w:r w:rsidRPr="00BF2C24">
        <w:rPr>
          <w:rFonts w:ascii="Tahoma" w:hAnsi="Tahoma" w:cs="Tahoma"/>
        </w:rPr>
        <w:t>(ДАННЫЙ ПЕРЕЧЕНЬ МЕРОПРИЯТИЙ НЕ ЯВЛЯЕТСЯ ОБЯЗАТЕЛЬНЫМ)</w:t>
      </w:r>
    </w:p>
    <w:p w:rsidR="00153263" w:rsidRPr="00BF2C24" w:rsidRDefault="00153263" w:rsidP="00153263">
      <w:pPr>
        <w:pStyle w:val="ConsPlusNonformat"/>
        <w:rPr>
          <w:rFonts w:ascii="Tahoma" w:hAnsi="Tahoma" w:cs="Tahoma"/>
        </w:rPr>
      </w:pPr>
    </w:p>
    <w:p w:rsidR="00153263" w:rsidRPr="00BF2C24" w:rsidRDefault="00153263" w:rsidP="00153263">
      <w:pPr>
        <w:pStyle w:val="ConsPlusNonformat"/>
        <w:jc w:val="center"/>
        <w:rPr>
          <w:rFonts w:ascii="Tahoma" w:hAnsi="Tahoma" w:cs="Tahoma"/>
          <w:b/>
        </w:rPr>
      </w:pPr>
      <w:r w:rsidRPr="00BF2C24">
        <w:rPr>
          <w:rFonts w:ascii="Tahoma" w:hAnsi="Tahoma" w:cs="Tahoma"/>
          <w:b/>
        </w:rPr>
        <w:t>СИСТЕМА ЭЛЕКТРОСНАБЖЕНИЯ</w:t>
      </w:r>
    </w:p>
    <w:p w:rsidR="00153263" w:rsidRPr="00BF2C24" w:rsidRDefault="00153263" w:rsidP="00153263">
      <w:pPr>
        <w:pStyle w:val="ConsPlusNonformat"/>
        <w:rPr>
          <w:rFonts w:ascii="Tahoma" w:hAnsi="Tahoma" w:cs="Tahoma"/>
        </w:rPr>
      </w:pPr>
    </w:p>
    <w:tbl>
      <w:tblPr>
        <w:tblW w:w="104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479"/>
        <w:gridCol w:w="1843"/>
        <w:gridCol w:w="1559"/>
        <w:gridCol w:w="1701"/>
        <w:gridCol w:w="1498"/>
        <w:gridCol w:w="2046"/>
      </w:tblGrid>
      <w:tr w:rsidR="00153263" w:rsidRPr="00300680" w:rsidTr="00153263">
        <w:trPr>
          <w:trHeight w:val="923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outlineLvl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N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Цель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Применяемые технологии, оборудование и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Возможные исполнители мероприятий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Источник ф</w:t>
            </w:r>
            <w:r>
              <w:rPr>
                <w:rFonts w:cs="Tahoma"/>
                <w:sz w:val="16"/>
                <w:szCs w:val="16"/>
              </w:rPr>
              <w:t>инансиро</w:t>
            </w:r>
            <w:r w:rsidRPr="00300680">
              <w:rPr>
                <w:rFonts w:cs="Tahoma"/>
                <w:sz w:val="16"/>
                <w:szCs w:val="16"/>
              </w:rPr>
              <w:t>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jc w:val="center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Характер эксплуатации     после реализации мероприятия</w:t>
            </w:r>
          </w:p>
        </w:tc>
      </w:tr>
      <w:tr w:rsidR="00153263" w:rsidRPr="00300680" w:rsidTr="00153263">
        <w:trPr>
          <w:trHeight w:val="357"/>
          <w:tblCellSpacing w:w="5" w:type="nil"/>
        </w:trPr>
        <w:tc>
          <w:tcPr>
            <w:tcW w:w="10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ind w:firstLine="634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I. Перечень основных мероприятий в отношении общего имущества в многоквартирном доме     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Замена ламп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накаливания в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местах общего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пользования на 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энергоэффектив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>-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ные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 xml:space="preserve"> лампы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1) Экономия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электроэнергии;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2) Улучшение качества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освещения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Люминесцентные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лампы,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светодиодные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лампы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протирка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Установка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коллективного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(общедомового)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прибора учета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электрической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энергии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Учет электрической     </w:t>
            </w:r>
            <w:r w:rsidRPr="00300680">
              <w:rPr>
                <w:rFonts w:cs="Tahoma"/>
                <w:sz w:val="16"/>
                <w:szCs w:val="16"/>
              </w:rPr>
              <w:br/>
              <w:t>энергии, потребленной в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многоквартирном доме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Прибор учета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электрической     </w:t>
            </w:r>
            <w:r w:rsidRPr="00300680">
              <w:rPr>
                <w:rFonts w:cs="Tahoma"/>
                <w:sz w:val="16"/>
                <w:szCs w:val="16"/>
              </w:rPr>
              <w:br/>
              <w:t>энергии, внесенный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 государственный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реестр средств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измерений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поверка,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Установка      </w:t>
            </w:r>
            <w:r w:rsidRPr="00300680">
              <w:rPr>
                <w:rFonts w:cs="Tahoma"/>
                <w:sz w:val="16"/>
                <w:szCs w:val="16"/>
              </w:rPr>
              <w:br/>
              <w:t>индивидуального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прибора учета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электрической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энергии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Учет электрической     </w:t>
            </w:r>
            <w:r w:rsidRPr="00300680">
              <w:rPr>
                <w:rFonts w:cs="Tahoma"/>
                <w:sz w:val="16"/>
                <w:szCs w:val="16"/>
              </w:rPr>
              <w:br/>
              <w:t>энергии, потребленной в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жилом или нежилом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помещении в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многоквартирном доме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Прибор учета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электрической     </w:t>
            </w:r>
            <w:r w:rsidRPr="00300680">
              <w:rPr>
                <w:rFonts w:cs="Tahoma"/>
                <w:sz w:val="16"/>
                <w:szCs w:val="16"/>
              </w:rPr>
              <w:br/>
              <w:t>энергии, внесенный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 государственный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реестр средств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измерений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proofErr w:type="spellStart"/>
            <w:r w:rsidRPr="00300680">
              <w:rPr>
                <w:rFonts w:cs="Tahoma"/>
                <w:sz w:val="16"/>
                <w:szCs w:val="16"/>
              </w:rPr>
              <w:t>Специализиро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>-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ванная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по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гражданско-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правовому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договору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поверка,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325"/>
          <w:tblCellSpacing w:w="5" w:type="nil"/>
        </w:trPr>
        <w:tc>
          <w:tcPr>
            <w:tcW w:w="10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ind w:firstLine="634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II. Перечень дополнительных мероприятий в отношении общего имущества в многоквартирном доме 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Установка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оборудования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для            </w:t>
            </w:r>
            <w:r w:rsidRPr="00300680">
              <w:rPr>
                <w:rFonts w:cs="Tahoma"/>
                <w:sz w:val="16"/>
                <w:szCs w:val="16"/>
              </w:rPr>
              <w:br/>
              <w:t>автоматического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освещения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помещений в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местах общего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пользования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1) Автоматическое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регулирование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освещенности;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2) Экономия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Датчики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освещенности,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датчики движения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настройка,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Модернизация   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электродвигате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>-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лей или замена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 более       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энергоэффектив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>-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ные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1) Более точное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регулирование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параметров в системе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отопления, ГВС и ХВС;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2) Экономия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Трехскоростные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электродвигатели; </w:t>
            </w:r>
            <w:r w:rsidRPr="00300680">
              <w:rPr>
                <w:rFonts w:cs="Tahoma"/>
                <w:sz w:val="16"/>
                <w:szCs w:val="16"/>
              </w:rPr>
              <w:br/>
              <w:t>электродвигатели с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переменной        </w:t>
            </w:r>
            <w:r w:rsidRPr="00300680">
              <w:rPr>
                <w:rFonts w:cs="Tahoma"/>
                <w:sz w:val="16"/>
                <w:szCs w:val="16"/>
              </w:rPr>
              <w:br/>
              <w:t>скоростью вращения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настройка,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Установка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частотно-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регулируемых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приводов в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лифтовом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хозяйстве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Экономия   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частотно-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регулируемых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приводов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настройка,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416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Установка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автоматических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систем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включения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(выключения)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внутридомового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освещения,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реагирующих на </w:t>
            </w:r>
            <w:r w:rsidRPr="00300680">
              <w:rPr>
                <w:rFonts w:cs="Tahoma"/>
                <w:sz w:val="16"/>
                <w:szCs w:val="16"/>
              </w:rPr>
              <w:br/>
              <w:t>движение (звук)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Экономия   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Автоматические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системы включения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(выключения)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внутридомового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освещения,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реагирующие на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движение (звук)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за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содержание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и ремонт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жилого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помещения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осмотр,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настройка,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ремонт        </w:t>
            </w:r>
          </w:p>
        </w:tc>
      </w:tr>
      <w:tr w:rsidR="00153263" w:rsidRPr="00300680" w:rsidTr="00153263">
        <w:trPr>
          <w:trHeight w:val="377"/>
          <w:tblCellSpacing w:w="5" w:type="nil"/>
        </w:trPr>
        <w:tc>
          <w:tcPr>
            <w:tcW w:w="104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ind w:firstLine="634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III. Перечень мероприятий в отношении помещений индивидуального пользования в многоквартирном доме    </w:t>
            </w:r>
          </w:p>
        </w:tc>
      </w:tr>
      <w:tr w:rsidR="00153263" w:rsidRPr="00300680" w:rsidTr="00153263">
        <w:trPr>
          <w:trHeight w:val="96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Замена ламп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накаливания на 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энергоэффектив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>-</w:t>
            </w:r>
            <w:r w:rsidRPr="00300680">
              <w:rPr>
                <w:rFonts w:cs="Tahoma"/>
                <w:sz w:val="16"/>
                <w:szCs w:val="16"/>
              </w:rPr>
              <w:br/>
            </w:r>
            <w:proofErr w:type="spellStart"/>
            <w:r w:rsidRPr="00300680">
              <w:rPr>
                <w:rFonts w:cs="Tahoma"/>
                <w:sz w:val="16"/>
                <w:szCs w:val="16"/>
              </w:rPr>
              <w:t>ные</w:t>
            </w:r>
            <w:proofErr w:type="spellEnd"/>
            <w:r w:rsidRPr="00300680">
              <w:rPr>
                <w:rFonts w:cs="Tahoma"/>
                <w:sz w:val="16"/>
                <w:szCs w:val="16"/>
              </w:rPr>
              <w:t xml:space="preserve"> лампы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1) Экономия    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электроэнергии;    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2) Улучшение качества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освещения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Люминесцентные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лампы,            </w:t>
            </w:r>
            <w:r w:rsidRPr="00300680">
              <w:rPr>
                <w:rFonts w:cs="Tahoma"/>
                <w:sz w:val="16"/>
                <w:szCs w:val="16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Управляющая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организация 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плата по  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отдельному  </w:t>
            </w:r>
            <w:r w:rsidRPr="00300680">
              <w:rPr>
                <w:rFonts w:cs="Tahoma"/>
                <w:sz w:val="16"/>
                <w:szCs w:val="16"/>
              </w:rPr>
              <w:br/>
              <w:t xml:space="preserve">договору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63" w:rsidRPr="00300680" w:rsidRDefault="00153263" w:rsidP="00157A97">
            <w:pPr>
              <w:autoSpaceDE w:val="0"/>
              <w:autoSpaceDN w:val="0"/>
              <w:adjustRightInd w:val="0"/>
              <w:rPr>
                <w:rFonts w:cs="Tahoma"/>
                <w:sz w:val="16"/>
                <w:szCs w:val="16"/>
              </w:rPr>
            </w:pPr>
            <w:r w:rsidRPr="00300680">
              <w:rPr>
                <w:rFonts w:cs="Tahoma"/>
                <w:sz w:val="16"/>
                <w:szCs w:val="16"/>
              </w:rPr>
              <w:t xml:space="preserve">Периодический </w:t>
            </w:r>
            <w:r w:rsidRPr="00300680">
              <w:rPr>
                <w:rFonts w:cs="Tahoma"/>
                <w:sz w:val="16"/>
                <w:szCs w:val="16"/>
              </w:rPr>
              <w:br/>
              <w:t>осмотр, замена</w:t>
            </w:r>
          </w:p>
        </w:tc>
      </w:tr>
    </w:tbl>
    <w:p w:rsidR="004D4D90" w:rsidRDefault="004D4D90">
      <w:bookmarkStart w:id="0" w:name="_GoBack"/>
      <w:bookmarkEnd w:id="0"/>
    </w:p>
    <w:sectPr w:rsidR="004D4D90" w:rsidSect="001532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E8"/>
    <w:rsid w:val="00153263"/>
    <w:rsid w:val="001870E8"/>
    <w:rsid w:val="004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132"/>
  <w15:chartTrackingRefBased/>
  <w15:docId w15:val="{352B693B-A285-4171-A62B-07E48B93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63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32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3814</Characters>
  <Application>Microsoft Office Word</Application>
  <DocSecurity>0</DocSecurity>
  <Lines>31</Lines>
  <Paragraphs>8</Paragraphs>
  <ScaleCrop>false</ScaleCrop>
  <Company>PJSC TPlus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Олеся Анатольевна</dc:creator>
  <cp:keywords/>
  <dc:description/>
  <cp:lastModifiedBy>Синицкая Олеся Анатольевна</cp:lastModifiedBy>
  <cp:revision>2</cp:revision>
  <dcterms:created xsi:type="dcterms:W3CDTF">2022-05-17T07:16:00Z</dcterms:created>
  <dcterms:modified xsi:type="dcterms:W3CDTF">2022-05-17T07:19:00Z</dcterms:modified>
</cp:coreProperties>
</file>